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E0C9">
      <w:pPr>
        <w:widowControl w:val="0"/>
        <w:wordWrap/>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3F01A674">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5B0599A5">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00"/>
        <w:gridCol w:w="5483"/>
      </w:tblGrid>
      <w:tr w14:paraId="0E36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D234266">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2C382BE0">
            <w:pPr>
              <w:widowControl/>
              <w:shd w:val="clear" w:color="auto" w:fill="auto"/>
              <w:spacing w:line="560" w:lineRule="exact"/>
              <w:jc w:val="center"/>
              <w:textAlignment w:val="center"/>
              <w:rPr>
                <w:rFonts w:hint="default" w:ascii="仿宋_GB2312" w:hAnsi="仿宋_GB2312" w:eastAsia="仿宋_GB2312" w:cs="仿宋_GB2312"/>
                <w:b/>
                <w:color w:val="000000"/>
                <w:sz w:val="24"/>
                <w:szCs w:val="24"/>
                <w:lang w:val="en-US" w:eastAsia="zh-CN"/>
              </w:rPr>
            </w:pPr>
            <w:r>
              <w:rPr>
                <w:rFonts w:hint="default" w:ascii="仿宋_GB2312" w:hAnsi="仿宋_GB2312" w:eastAsia="仿宋_GB2312" w:cs="仿宋_GB2312"/>
                <w:sz w:val="28"/>
                <w:szCs w:val="28"/>
                <w:highlight w:val="none"/>
                <w:u w:val="none"/>
                <w:lang w:val="en-US" w:eastAsia="zh-CN"/>
              </w:rPr>
              <w:t>许昌市新东街(京广高铁-玉兰路)打通工程压覆矿产资</w:t>
            </w:r>
            <w:bookmarkStart w:id="0" w:name="_GoBack"/>
            <w:bookmarkEnd w:id="0"/>
            <w:r>
              <w:rPr>
                <w:rFonts w:hint="default" w:ascii="仿宋_GB2312" w:hAnsi="仿宋_GB2312" w:eastAsia="仿宋_GB2312" w:cs="仿宋_GB2312"/>
                <w:sz w:val="28"/>
                <w:szCs w:val="28"/>
                <w:highlight w:val="none"/>
                <w:u w:val="none"/>
                <w:lang w:val="en-US" w:eastAsia="zh-CN"/>
              </w:rPr>
              <w:t>源储量核实</w:t>
            </w:r>
            <w:r>
              <w:rPr>
                <w:rFonts w:hint="eastAsia" w:ascii="仿宋_GB2312" w:hAnsi="仿宋_GB2312" w:eastAsia="仿宋_GB2312" w:cs="仿宋_GB2312"/>
                <w:sz w:val="28"/>
                <w:szCs w:val="28"/>
                <w:highlight w:val="none"/>
                <w:u w:val="none"/>
                <w:lang w:val="en-US" w:eastAsia="zh-CN"/>
              </w:rPr>
              <w:t>调查</w:t>
            </w:r>
            <w:r>
              <w:rPr>
                <w:rFonts w:hint="default" w:ascii="仿宋_GB2312" w:hAnsi="仿宋_GB2312" w:eastAsia="仿宋_GB2312" w:cs="仿宋_GB2312"/>
                <w:sz w:val="28"/>
                <w:szCs w:val="28"/>
                <w:highlight w:val="none"/>
                <w:u w:val="none"/>
                <w:lang w:val="en-US" w:eastAsia="zh-CN"/>
              </w:rPr>
              <w:t>服务单位</w:t>
            </w:r>
          </w:p>
        </w:tc>
      </w:tr>
      <w:tr w14:paraId="56B2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4A8B1611">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60D3DD9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499B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6334DC7">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7B969727">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072B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F332954">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76104D83">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2C23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DB07CA2">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7CC33468">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rPr>
            </w:pPr>
          </w:p>
        </w:tc>
      </w:tr>
      <w:tr w14:paraId="7224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C5AD08E">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093C7C58">
            <w:pPr>
              <w:widowControl/>
              <w:shd w:val="clear" w:color="auto" w:fill="auto"/>
              <w:spacing w:line="560" w:lineRule="exact"/>
              <w:ind w:firstLine="960" w:firstLineChars="300"/>
              <w:jc w:val="both"/>
              <w:textAlignment w:val="center"/>
              <w:rPr>
                <w:rFonts w:hint="default" w:ascii="仿宋_GB2312" w:hAnsi="宋体" w:eastAsia="仿宋_GB2312" w:cs="仿宋_GB2312"/>
                <w:b/>
                <w:color w:val="000000"/>
                <w:kern w:val="0"/>
                <w:sz w:val="32"/>
                <w:szCs w:val="32"/>
                <w:lang w:val="en-US"/>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（元）</w:t>
            </w:r>
          </w:p>
        </w:tc>
      </w:tr>
    </w:tbl>
    <w:p w14:paraId="20CCFB7A">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0061E71D">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DED1056">
      <w:pPr>
        <w:pStyle w:val="3"/>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1004D623">
      <w:pPr>
        <w:rPr>
          <w:rFonts w:hint="eastAsia" w:ascii="仿宋_GB2312" w:hAnsi="仿宋_GB2312" w:eastAsia="仿宋_GB2312" w:cs="仿宋_GB2312"/>
          <w:sz w:val="32"/>
          <w:szCs w:val="32"/>
          <w:highlight w:val="none"/>
          <w:lang w:val="en-US" w:eastAsia="zh-CN"/>
        </w:rPr>
      </w:pPr>
    </w:p>
    <w:p w14:paraId="04D88CCB">
      <w:pPr>
        <w:rPr>
          <w:rFonts w:hint="eastAsia" w:ascii="仿宋_GB2312" w:hAnsi="仿宋_GB2312" w:eastAsia="仿宋_GB2312" w:cs="仿宋_GB2312"/>
          <w:sz w:val="32"/>
          <w:szCs w:val="32"/>
          <w:highlight w:val="none"/>
          <w:lang w:val="en-US" w:eastAsia="zh-CN"/>
        </w:rPr>
      </w:pPr>
    </w:p>
    <w:p w14:paraId="3141D97C">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0CA4F271">
      <w:pPr>
        <w:pStyle w:val="7"/>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1685E9E5">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2D60D205">
      <w:pPr>
        <w:widowControl w:val="0"/>
        <w:wordWrap/>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4D99BB46">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32AAFC34">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763079C0">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 xml:space="preserve">本项目采用综合评分法。总分为 </w:t>
      </w:r>
      <w:r>
        <w:rPr>
          <w:rFonts w:hint="eastAsia" w:ascii="Times New Roman" w:hAnsi="Times New Roman" w:eastAsia="仿宋_GB2312" w:cs="Times New Roman"/>
          <w:sz w:val="32"/>
          <w:szCs w:val="32"/>
          <w:lang w:val="zh-CN" w:eastAsia="zh-CN"/>
        </w:rPr>
        <w:t xml:space="preserve">100 </w:t>
      </w:r>
      <w:r>
        <w:rPr>
          <w:rFonts w:hint="eastAsia" w:ascii="仿宋_GB2312" w:hAnsi="仿宋_GB2312" w:eastAsia="仿宋_GB2312" w:cs="仿宋_GB2312"/>
          <w:b/>
          <w:bCs/>
          <w:sz w:val="32"/>
          <w:szCs w:val="32"/>
          <w:lang w:val="zh-CN" w:eastAsia="zh-CN"/>
        </w:rPr>
        <w:t>分。</w:t>
      </w:r>
    </w:p>
    <w:p w14:paraId="0591258C">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54D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42BA95BB">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017E361E">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23E1A0C7">
            <w:pPr>
              <w:widowControl/>
              <w:adjustRightInd w:val="0"/>
              <w:snapToGrid w:val="0"/>
              <w:spacing w:line="276" w:lineRule="auto"/>
              <w:jc w:val="left"/>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0 </w:t>
            </w:r>
            <w:r>
              <w:rPr>
                <w:rFonts w:hint="eastAsia" w:ascii="Times New Roman" w:hAnsi="Times New Roman" w:eastAsia="仿宋_GB2312" w:cs="Times New Roman"/>
                <w:sz w:val="32"/>
                <w:szCs w:val="32"/>
                <w:lang w:val="zh-CN" w:eastAsia="zh-CN"/>
              </w:rPr>
              <w:t>分</w:t>
            </w:r>
          </w:p>
          <w:p w14:paraId="2380200E">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企业资质</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zh-CN" w:eastAsia="zh-CN"/>
              </w:rPr>
              <w:t>分</w:t>
            </w:r>
          </w:p>
          <w:p w14:paraId="55F33DBE">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企业业绩：</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15 </w:t>
            </w:r>
            <w:r>
              <w:rPr>
                <w:rFonts w:hint="eastAsia" w:ascii="仿宋_GB2312" w:hAnsi="仿宋_GB2312" w:eastAsia="仿宋_GB2312" w:cs="仿宋_GB2312"/>
                <w:sz w:val="32"/>
                <w:szCs w:val="32"/>
                <w:lang w:val="en-US" w:eastAsia="zh-CN"/>
              </w:rPr>
              <w:t>分</w:t>
            </w:r>
          </w:p>
          <w:p w14:paraId="10F7DD50">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40</w:t>
            </w:r>
            <w:r>
              <w:rPr>
                <w:rFonts w:hint="eastAsia" w:ascii="仿宋_GB2312" w:hAnsi="仿宋_GB2312" w:eastAsia="仿宋_GB2312" w:cs="仿宋_GB2312"/>
                <w:sz w:val="32"/>
                <w:szCs w:val="32"/>
                <w:lang w:val="zh-CN" w:eastAsia="zh-CN"/>
              </w:rPr>
              <w:t xml:space="preserve"> 分</w:t>
            </w:r>
          </w:p>
        </w:tc>
      </w:tr>
      <w:tr w14:paraId="43E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3EDDA59C">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2261EBDE">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63E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3EE715C7">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6C55884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6984725B">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1、服务费超过控制价为无效报价；</w:t>
            </w:r>
          </w:p>
          <w:p w14:paraId="110EAD4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2、所有参与的申请人最低的有效报价为基准报价；</w:t>
            </w:r>
          </w:p>
          <w:p w14:paraId="584531BC">
            <w:pPr>
              <w:widowControl/>
              <w:adjustRightInd w:val="0"/>
              <w:snapToGrid w:val="0"/>
              <w:spacing w:line="27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3、报价得分=（基准报价/报价）×30分。</w:t>
            </w:r>
          </w:p>
        </w:tc>
      </w:tr>
      <w:tr w14:paraId="5932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13" w:type="dxa"/>
            <w:shd w:val="clear" w:color="auto" w:fill="auto"/>
            <w:tcMar>
              <w:top w:w="0" w:type="dxa"/>
              <w:left w:w="0" w:type="dxa"/>
              <w:bottom w:w="0" w:type="dxa"/>
              <w:right w:w="0" w:type="dxa"/>
            </w:tcMar>
            <w:vAlign w:val="center"/>
          </w:tcPr>
          <w:p w14:paraId="7CB56332">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企业资质</w:t>
            </w:r>
          </w:p>
          <w:p w14:paraId="0776C986">
            <w:pPr>
              <w:adjustRightInd w:val="0"/>
              <w:snapToGrid w:val="0"/>
              <w:spacing w:line="276"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（15分）</w:t>
            </w:r>
          </w:p>
        </w:tc>
        <w:tc>
          <w:tcPr>
            <w:tcW w:w="6786" w:type="dxa"/>
            <w:shd w:val="clear" w:color="auto" w:fill="auto"/>
            <w:tcMar>
              <w:top w:w="0" w:type="dxa"/>
              <w:left w:w="0" w:type="dxa"/>
              <w:bottom w:w="0" w:type="dxa"/>
              <w:right w:w="0" w:type="dxa"/>
            </w:tcMar>
            <w:vAlign w:val="center"/>
          </w:tcPr>
          <w:p w14:paraId="0A57FD3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1、项目负责人：5分，正高级工程（地质矿产）得5分，高级工程师（地质矿产）得3分。</w:t>
            </w:r>
          </w:p>
          <w:p w14:paraId="6F61814A">
            <w:pPr>
              <w:widowControl/>
              <w:adjustRightInd w:val="0"/>
              <w:snapToGrid w:val="0"/>
              <w:spacing w:line="276" w:lineRule="auto"/>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2、人员：10分（不含项目负责人），项目团队中3名工程师（地质矿产）得基本分6分，每增加一名加2分。团队组成人员须提供劳动合同。</w:t>
            </w:r>
          </w:p>
        </w:tc>
      </w:tr>
      <w:tr w14:paraId="1F1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shd w:val="clear" w:color="auto" w:fill="auto"/>
            <w:tcMar>
              <w:top w:w="0" w:type="dxa"/>
              <w:left w:w="0" w:type="dxa"/>
              <w:bottom w:w="0" w:type="dxa"/>
              <w:right w:w="0" w:type="dxa"/>
            </w:tcMar>
            <w:vAlign w:val="center"/>
          </w:tcPr>
          <w:p w14:paraId="7C1820A5">
            <w:pPr>
              <w:widowControl/>
              <w:numPr>
                <w:ilvl w:val="0"/>
                <w:numId w:val="0"/>
              </w:numPr>
              <w:wordWrap/>
              <w:adjustRightInd w:val="0"/>
              <w:snapToGrid w:val="0"/>
              <w:spacing w:line="540" w:lineRule="exact"/>
              <w:ind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5A60D9E4">
            <w:pPr>
              <w:widowControl/>
              <w:numPr>
                <w:ilvl w:val="0"/>
                <w:numId w:val="0"/>
              </w:numPr>
              <w:wordWrap/>
              <w:adjustRightInd w:val="0"/>
              <w:snapToGrid w:val="0"/>
              <w:spacing w:line="540" w:lineRule="exact"/>
              <w:ind w:right="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分）</w:t>
            </w:r>
          </w:p>
        </w:tc>
        <w:tc>
          <w:tcPr>
            <w:tcW w:w="6786" w:type="dxa"/>
            <w:shd w:val="clear" w:color="auto" w:fill="auto"/>
            <w:tcMar>
              <w:top w:w="0" w:type="dxa"/>
              <w:left w:w="0" w:type="dxa"/>
              <w:bottom w:w="0" w:type="dxa"/>
              <w:right w:w="0" w:type="dxa"/>
            </w:tcMar>
            <w:vAlign w:val="center"/>
          </w:tcPr>
          <w:p w14:paraId="0622FB8F">
            <w:pPr>
              <w:widowControl/>
              <w:adjustRightInd w:val="0"/>
              <w:snapToGrid w:val="0"/>
              <w:spacing w:line="276"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1、经营范围包含矿产资源勘查得2分，没有不得分。</w:t>
            </w:r>
          </w:p>
          <w:p w14:paraId="1FA0F7C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2、自2022年1月以来近三年服务项目类似业绩(以合同和专家评审意见为准）五项及以上者得10分，缺一项扣2分,没有不得分。</w:t>
            </w:r>
          </w:p>
          <w:p w14:paraId="425FB01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3、企业具有涉密地质资料借阅复制证书得3分，没有不得分。</w:t>
            </w:r>
          </w:p>
        </w:tc>
      </w:tr>
      <w:tr w14:paraId="672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32EAB8C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75B1BD9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（40分）</w:t>
            </w:r>
          </w:p>
        </w:tc>
        <w:tc>
          <w:tcPr>
            <w:tcW w:w="6786" w:type="dxa"/>
            <w:tcMar>
              <w:top w:w="0" w:type="dxa"/>
              <w:left w:w="0" w:type="dxa"/>
              <w:bottom w:w="0" w:type="dxa"/>
              <w:right w:w="0" w:type="dxa"/>
            </w:tcMar>
            <w:vAlign w:val="center"/>
          </w:tcPr>
          <w:p w14:paraId="2B562D97">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1、服务方案：针对具体项目类型特点，制定详细全面的服务方案，明确服务原则、重点难点服务内容、具体服务措施等。（满分15分）</w:t>
            </w:r>
          </w:p>
          <w:p w14:paraId="12E469FA">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（1）服务方案详细全面、有针对性，服务措施合理科学的得12-15分；</w:t>
            </w:r>
          </w:p>
          <w:p w14:paraId="2AD0A43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（2）服务方案比较可行、有针对性，服务措施比较合理科学的得8-11分；</w:t>
            </w:r>
          </w:p>
          <w:p w14:paraId="4C9D6394">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（3）服务方案可行性、针对性一般，服务措施基本合理科学的得3-7分；</w:t>
            </w:r>
          </w:p>
          <w:p w14:paraId="143C0621">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（4）无服务方案得0分。</w:t>
            </w:r>
          </w:p>
          <w:p w14:paraId="1C8CC5B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2、服务质量保证措施：针对本项目质量要求，制定出实现质量目标的具体保证措施，进行分析并制定出相应的处理方法。（满分10分）</w:t>
            </w:r>
          </w:p>
          <w:p w14:paraId="0DBBC2E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（1）保证体系健全、完整、合理、思路清晰并具有一定的严谨性的得8-10分；</w:t>
            </w:r>
          </w:p>
          <w:p w14:paraId="39E71DEC">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（2）保证体系基本健全、完整的得5-7分；</w:t>
            </w:r>
          </w:p>
          <w:p w14:paraId="07500D4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（3）保证体系一般的得2-4分。</w:t>
            </w:r>
          </w:p>
          <w:p w14:paraId="188D25D6">
            <w:pPr>
              <w:widowControl/>
              <w:adjustRightInd w:val="0"/>
              <w:snapToGrid w:val="0"/>
              <w:spacing w:line="276"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（4）无保证体系得0分。</w:t>
            </w:r>
          </w:p>
          <w:p w14:paraId="3A231B7B">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3、保密措施及档案管理制度。（满分5分）</w:t>
            </w:r>
          </w:p>
          <w:p w14:paraId="68133E2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（1）完整全面得4-5分；</w:t>
            </w:r>
          </w:p>
          <w:p w14:paraId="1C86C65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（2）较完整全面得3-4分；</w:t>
            </w:r>
          </w:p>
          <w:p w14:paraId="2AF29FD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（3）不完整不全面得1-2分；</w:t>
            </w:r>
          </w:p>
          <w:p w14:paraId="6D8C5BBF">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（4）无保密措施及档案管理制度得0分。</w:t>
            </w:r>
          </w:p>
          <w:p w14:paraId="6ABEE10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4、服务承诺。（满分10分）</w:t>
            </w:r>
          </w:p>
          <w:p w14:paraId="229138E6">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（1）服务承诺完整、全面可行的得7-10分</w:t>
            </w:r>
          </w:p>
          <w:p w14:paraId="495B4DC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（2）服务承诺基本完整、全面的得4-6分</w:t>
            </w:r>
          </w:p>
          <w:p w14:paraId="412A882C">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（3）服务承诺不完整、不全面的得1-3分</w:t>
            </w:r>
          </w:p>
          <w:p w14:paraId="17BA963F">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（4）无服务承诺的得0分。</w:t>
            </w:r>
          </w:p>
        </w:tc>
      </w:tr>
    </w:tbl>
    <w:p w14:paraId="1795B5AA">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0BC698A1">
      <w:pPr>
        <w:widowControl w:val="0"/>
        <w:wordWrap/>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5241423E">
      <w:pPr>
        <w:pStyle w:val="12"/>
        <w:rPr>
          <w:rFonts w:hint="eastAsia" w:ascii="仿宋" w:hAnsi="仿宋" w:eastAsia="仿宋" w:cs="仿宋"/>
          <w:sz w:val="32"/>
          <w:szCs w:val="32"/>
          <w:highlight w:val="none"/>
          <w:lang w:val="en-US" w:eastAsia="zh-CN"/>
        </w:rPr>
      </w:pPr>
    </w:p>
    <w:p w14:paraId="1663472C">
      <w:pPr>
        <w:pStyle w:val="13"/>
        <w:ind w:left="0" w:leftChars="0" w:firstLine="0" w:firstLineChars="0"/>
        <w:rPr>
          <w:rFonts w:hint="eastAsia" w:ascii="仿宋" w:hAnsi="仿宋" w:eastAsia="仿宋" w:cs="仿宋"/>
          <w:sz w:val="32"/>
          <w:szCs w:val="32"/>
          <w:highlight w:val="none"/>
          <w:lang w:val="en-US" w:eastAsia="zh-CN"/>
        </w:rPr>
      </w:pPr>
    </w:p>
    <w:p w14:paraId="3C0FFF87">
      <w:pPr>
        <w:rPr>
          <w:rFonts w:hint="eastAsia" w:ascii="仿宋" w:hAnsi="仿宋" w:eastAsia="仿宋" w:cs="仿宋"/>
          <w:sz w:val="32"/>
          <w:szCs w:val="32"/>
          <w:highlight w:val="none"/>
          <w:lang w:val="en-US" w:eastAsia="zh-CN"/>
        </w:rPr>
      </w:pPr>
    </w:p>
    <w:p w14:paraId="799AA620">
      <w:pPr>
        <w:rPr>
          <w:rFonts w:hint="eastAsia" w:ascii="仿宋" w:hAnsi="仿宋" w:eastAsia="仿宋" w:cs="仿宋"/>
          <w:sz w:val="32"/>
          <w:szCs w:val="32"/>
          <w:highlight w:val="none"/>
          <w:lang w:val="en-US" w:eastAsia="zh-CN"/>
        </w:rPr>
      </w:pPr>
    </w:p>
    <w:p w14:paraId="322B3C4E">
      <w:pPr>
        <w:rPr>
          <w:rFonts w:hint="eastAsia" w:ascii="仿宋" w:hAnsi="仿宋" w:eastAsia="仿宋" w:cs="仿宋"/>
          <w:sz w:val="32"/>
          <w:szCs w:val="32"/>
          <w:highlight w:val="none"/>
          <w:lang w:val="en-US" w:eastAsia="zh-CN"/>
        </w:rPr>
      </w:pPr>
    </w:p>
    <w:p w14:paraId="5530203A">
      <w:pPr>
        <w:rPr>
          <w:rFonts w:hint="eastAsia" w:ascii="仿宋" w:hAnsi="仿宋" w:eastAsia="仿宋" w:cs="仿宋"/>
          <w:sz w:val="32"/>
          <w:szCs w:val="32"/>
          <w:highlight w:val="none"/>
          <w:lang w:val="en-US" w:eastAsia="zh-CN"/>
        </w:rPr>
      </w:pPr>
    </w:p>
    <w:p w14:paraId="3D8F0B5B">
      <w:pPr>
        <w:rPr>
          <w:rFonts w:hint="eastAsia" w:ascii="仿宋" w:hAnsi="仿宋" w:eastAsia="仿宋" w:cs="仿宋"/>
          <w:sz w:val="32"/>
          <w:szCs w:val="32"/>
          <w:highlight w:val="none"/>
          <w:lang w:val="en-US" w:eastAsia="zh-CN"/>
        </w:rPr>
      </w:pPr>
    </w:p>
    <w:p w14:paraId="23A6E738">
      <w:pPr>
        <w:rPr>
          <w:rFonts w:hint="eastAsia" w:ascii="仿宋" w:hAnsi="仿宋" w:eastAsia="仿宋" w:cs="仿宋"/>
          <w:sz w:val="32"/>
          <w:szCs w:val="32"/>
          <w:highlight w:val="none"/>
          <w:lang w:val="en-US" w:eastAsia="zh-CN"/>
        </w:rPr>
      </w:pPr>
    </w:p>
    <w:p w14:paraId="108B7DFE">
      <w:pPr>
        <w:rPr>
          <w:rFonts w:hint="eastAsia" w:ascii="仿宋" w:hAnsi="仿宋" w:eastAsia="仿宋" w:cs="仿宋"/>
          <w:sz w:val="32"/>
          <w:szCs w:val="32"/>
          <w:highlight w:val="none"/>
          <w:lang w:val="en-US" w:eastAsia="zh-CN"/>
        </w:rPr>
      </w:pPr>
    </w:p>
    <w:p w14:paraId="5FB85BD8">
      <w:pPr>
        <w:rPr>
          <w:rFonts w:hint="eastAsia" w:ascii="仿宋" w:hAnsi="仿宋" w:eastAsia="仿宋" w:cs="仿宋"/>
          <w:sz w:val="32"/>
          <w:szCs w:val="32"/>
          <w:highlight w:val="none"/>
          <w:lang w:val="en-US" w:eastAsia="zh-CN"/>
        </w:rPr>
      </w:pPr>
    </w:p>
    <w:p w14:paraId="6F59FB26">
      <w:pPr>
        <w:rPr>
          <w:rFonts w:hint="eastAsia" w:ascii="仿宋" w:hAnsi="仿宋" w:eastAsia="仿宋" w:cs="仿宋"/>
          <w:sz w:val="32"/>
          <w:szCs w:val="32"/>
          <w:highlight w:val="none"/>
          <w:lang w:val="en-US" w:eastAsia="zh-CN"/>
        </w:rPr>
      </w:pPr>
    </w:p>
    <w:p w14:paraId="195C648E">
      <w:pPr>
        <w:rPr>
          <w:rFonts w:hint="eastAsia" w:ascii="仿宋" w:hAnsi="仿宋" w:eastAsia="仿宋" w:cs="仿宋"/>
          <w:sz w:val="32"/>
          <w:szCs w:val="32"/>
          <w:highlight w:val="none"/>
          <w:lang w:val="en-US" w:eastAsia="zh-CN"/>
        </w:rPr>
      </w:pPr>
    </w:p>
    <w:p w14:paraId="125EBFE1">
      <w:pPr>
        <w:rPr>
          <w:rFonts w:hint="eastAsia" w:ascii="仿宋" w:hAnsi="仿宋" w:eastAsia="仿宋" w:cs="仿宋"/>
          <w:sz w:val="32"/>
          <w:szCs w:val="32"/>
          <w:highlight w:val="none"/>
          <w:lang w:val="en-US" w:eastAsia="zh-CN"/>
        </w:rPr>
      </w:pPr>
    </w:p>
    <w:p w14:paraId="2B1099FB">
      <w:pPr>
        <w:rPr>
          <w:rFonts w:hint="eastAsia" w:ascii="仿宋" w:hAnsi="仿宋" w:eastAsia="仿宋" w:cs="仿宋"/>
          <w:sz w:val="32"/>
          <w:szCs w:val="32"/>
          <w:highlight w:val="none"/>
          <w:lang w:val="en-US" w:eastAsia="zh-CN"/>
        </w:rPr>
      </w:pPr>
    </w:p>
    <w:p w14:paraId="4F07E3F7">
      <w:pPr>
        <w:pStyle w:val="13"/>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77F851E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0C55FDD8">
      <w:pPr>
        <w:wordWrap/>
        <w:spacing w:line="560" w:lineRule="exact"/>
        <w:rPr>
          <w:rFonts w:hint="eastAsia" w:ascii="仿宋_GB2312" w:hAnsi="仿宋_GB2312" w:eastAsia="仿宋_GB2312" w:cs="仿宋_GB2312"/>
          <w:color w:val="auto"/>
          <w:sz w:val="32"/>
          <w:szCs w:val="32"/>
        </w:rPr>
      </w:pPr>
    </w:p>
    <w:p w14:paraId="6D609670">
      <w:pPr>
        <w:wordWrap/>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217629E0">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2300FE84">
      <w:pPr>
        <w:pStyle w:val="19"/>
        <w:widowControl/>
        <w:numPr>
          <w:ilvl w:val="0"/>
          <w:numId w:val="0"/>
        </w:numPr>
        <w:wordWrap/>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688F59C1">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0BDEDCE0">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0CC16513">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7545F932">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48FA2F4">
      <w:pPr>
        <w:ind w:firstLine="6400" w:firstLineChars="2000"/>
        <w:rPr>
          <w:rFonts w:hint="eastAsia" w:ascii="仿宋_GB2312" w:hAnsi="仿宋_GB2312" w:eastAsia="仿宋_GB2312" w:cs="仿宋_GB2312"/>
          <w:sz w:val="32"/>
          <w:szCs w:val="32"/>
        </w:rPr>
      </w:pPr>
    </w:p>
    <w:p w14:paraId="6700735A">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039A6F1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3708713B">
      <w:pPr>
        <w:widowControl w:val="0"/>
        <w:wordWrap/>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1FD">
    <w:pPr>
      <w:pStyle w:val="8"/>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2"/>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ZGI5NzQwYWYyZTI1Nzk4NTU4YmYxNzcwZWJlZTkifQ=="/>
    <w:docVar w:name="KSO_WPS_MARK_KEY" w:val="e10be619-05dc-41cf-93cb-fd70e9d7f3f3"/>
  </w:docVars>
  <w:rsids>
    <w:rsidRoot w:val="00172A27"/>
    <w:rsid w:val="0220040D"/>
    <w:rsid w:val="02471314"/>
    <w:rsid w:val="033A76CC"/>
    <w:rsid w:val="03435D32"/>
    <w:rsid w:val="04760788"/>
    <w:rsid w:val="0477594A"/>
    <w:rsid w:val="04A6281D"/>
    <w:rsid w:val="04AC5B58"/>
    <w:rsid w:val="04F57BCC"/>
    <w:rsid w:val="059A64CC"/>
    <w:rsid w:val="065A0AB0"/>
    <w:rsid w:val="07400AFC"/>
    <w:rsid w:val="07FF36BC"/>
    <w:rsid w:val="0A2C0437"/>
    <w:rsid w:val="0B554C24"/>
    <w:rsid w:val="0BFD4952"/>
    <w:rsid w:val="0DCD1AE2"/>
    <w:rsid w:val="0F1958F7"/>
    <w:rsid w:val="100B7DD6"/>
    <w:rsid w:val="117E16C8"/>
    <w:rsid w:val="12277102"/>
    <w:rsid w:val="12D9134B"/>
    <w:rsid w:val="12FD3C21"/>
    <w:rsid w:val="13926BAE"/>
    <w:rsid w:val="139C6AE3"/>
    <w:rsid w:val="15B96C5E"/>
    <w:rsid w:val="16262886"/>
    <w:rsid w:val="17155F13"/>
    <w:rsid w:val="17A51BCE"/>
    <w:rsid w:val="17C20C6F"/>
    <w:rsid w:val="1B507B0C"/>
    <w:rsid w:val="1C835196"/>
    <w:rsid w:val="1CEB654E"/>
    <w:rsid w:val="1DC22489"/>
    <w:rsid w:val="1E6710C6"/>
    <w:rsid w:val="1F1664EC"/>
    <w:rsid w:val="20BA4033"/>
    <w:rsid w:val="21B04977"/>
    <w:rsid w:val="22286977"/>
    <w:rsid w:val="22900BB2"/>
    <w:rsid w:val="234B5C3C"/>
    <w:rsid w:val="250B339C"/>
    <w:rsid w:val="25B415F5"/>
    <w:rsid w:val="27B5129D"/>
    <w:rsid w:val="27BF38CF"/>
    <w:rsid w:val="283F1AED"/>
    <w:rsid w:val="28B62672"/>
    <w:rsid w:val="29B575A9"/>
    <w:rsid w:val="29E1276B"/>
    <w:rsid w:val="2AED38D4"/>
    <w:rsid w:val="2B581BF2"/>
    <w:rsid w:val="2BC62952"/>
    <w:rsid w:val="2CC66F08"/>
    <w:rsid w:val="2EC3522E"/>
    <w:rsid w:val="30305D0A"/>
    <w:rsid w:val="309143F1"/>
    <w:rsid w:val="331104CE"/>
    <w:rsid w:val="33F17549"/>
    <w:rsid w:val="366D7797"/>
    <w:rsid w:val="36EC5FD8"/>
    <w:rsid w:val="38496769"/>
    <w:rsid w:val="384B1BA2"/>
    <w:rsid w:val="396F1F22"/>
    <w:rsid w:val="399765E7"/>
    <w:rsid w:val="39B06AF4"/>
    <w:rsid w:val="3ADE6BB9"/>
    <w:rsid w:val="3B930354"/>
    <w:rsid w:val="3BFE6232"/>
    <w:rsid w:val="3D1D6AF8"/>
    <w:rsid w:val="3E5548D7"/>
    <w:rsid w:val="3EE04C6E"/>
    <w:rsid w:val="3F5930F5"/>
    <w:rsid w:val="4070746C"/>
    <w:rsid w:val="4290206D"/>
    <w:rsid w:val="438D7307"/>
    <w:rsid w:val="442A5BD9"/>
    <w:rsid w:val="454A3AE3"/>
    <w:rsid w:val="45502C7D"/>
    <w:rsid w:val="461026EE"/>
    <w:rsid w:val="464042EF"/>
    <w:rsid w:val="468F1307"/>
    <w:rsid w:val="47B42BE7"/>
    <w:rsid w:val="47FB2A68"/>
    <w:rsid w:val="4A3D2009"/>
    <w:rsid w:val="4B2116C3"/>
    <w:rsid w:val="4B6B4494"/>
    <w:rsid w:val="4BAF6E8A"/>
    <w:rsid w:val="4F71212E"/>
    <w:rsid w:val="4FDC1809"/>
    <w:rsid w:val="4FF27880"/>
    <w:rsid w:val="504C2670"/>
    <w:rsid w:val="520B46A1"/>
    <w:rsid w:val="531862B9"/>
    <w:rsid w:val="53833B16"/>
    <w:rsid w:val="53E21C7B"/>
    <w:rsid w:val="5549003E"/>
    <w:rsid w:val="58517D83"/>
    <w:rsid w:val="58535244"/>
    <w:rsid w:val="589C7FC2"/>
    <w:rsid w:val="58A9515A"/>
    <w:rsid w:val="596040BD"/>
    <w:rsid w:val="5A0803C7"/>
    <w:rsid w:val="5AB727B6"/>
    <w:rsid w:val="5BFB48DE"/>
    <w:rsid w:val="5CF873CF"/>
    <w:rsid w:val="5DA12EF6"/>
    <w:rsid w:val="61215F42"/>
    <w:rsid w:val="62641F69"/>
    <w:rsid w:val="629E645C"/>
    <w:rsid w:val="62A20064"/>
    <w:rsid w:val="62F72DBF"/>
    <w:rsid w:val="635A1B7D"/>
    <w:rsid w:val="63B41DA5"/>
    <w:rsid w:val="64555C7B"/>
    <w:rsid w:val="655F1E1A"/>
    <w:rsid w:val="658E425E"/>
    <w:rsid w:val="67934844"/>
    <w:rsid w:val="68F608D3"/>
    <w:rsid w:val="6AD87C8C"/>
    <w:rsid w:val="6B6E6EE6"/>
    <w:rsid w:val="6BA97B57"/>
    <w:rsid w:val="6CAC04F4"/>
    <w:rsid w:val="6D6535F8"/>
    <w:rsid w:val="70722F5B"/>
    <w:rsid w:val="70D44079"/>
    <w:rsid w:val="70F82CCD"/>
    <w:rsid w:val="71A2163F"/>
    <w:rsid w:val="71AB32FD"/>
    <w:rsid w:val="74F51705"/>
    <w:rsid w:val="7507768A"/>
    <w:rsid w:val="768D3F82"/>
    <w:rsid w:val="768F7791"/>
    <w:rsid w:val="775B1880"/>
    <w:rsid w:val="77E57406"/>
    <w:rsid w:val="79DA0070"/>
    <w:rsid w:val="79E97840"/>
    <w:rsid w:val="7BD60CC6"/>
    <w:rsid w:val="7BE03191"/>
    <w:rsid w:val="7C222C76"/>
    <w:rsid w:val="7E947360"/>
    <w:rsid w:val="7FB0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3">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Times New Roman" w:hAnsi="Times New Roman" w:eastAsia="黑体" w:cs="Times New Roman"/>
      <w:sz w:val="36"/>
      <w:szCs w:val="20"/>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7">
    <w:name w:val="Plain Text"/>
    <w:basedOn w:val="1"/>
    <w:qFormat/>
    <w:uiPriority w:val="0"/>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line="480" w:lineRule="auto"/>
    </w:pPr>
    <w:rPr>
      <w:rFonts w:ascii="Times New Roman" w:hAnsi="Times New Roman" w:eastAsia="宋体" w:cs="Times New Roman"/>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2">
    <w:name w:val="Body Text First Indent"/>
    <w:basedOn w:val="4"/>
    <w:next w:val="13"/>
    <w:qFormat/>
    <w:uiPriority w:val="0"/>
    <w:pPr>
      <w:ind w:firstLine="420" w:firstLineChars="100"/>
    </w:pPr>
    <w:rPr>
      <w:rFonts w:ascii="宋体" w:hAnsi="Times New Roman" w:eastAsia="宋体" w:cs="Times New Roman"/>
      <w:kern w:val="0"/>
      <w:sz w:val="34"/>
      <w:szCs w:val="20"/>
    </w:rPr>
  </w:style>
  <w:style w:type="paragraph" w:styleId="13">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List Paragraph1"/>
    <w:basedOn w:val="1"/>
    <w:next w:val="1"/>
    <w:qFormat/>
    <w:uiPriority w:val="0"/>
    <w:pPr>
      <w:widowControl w:val="0"/>
      <w:spacing w:before="0" w:beforeLines="0" w:after="0" w:afterLines="0" w:line="240" w:lineRule="auto"/>
      <w:ind w:left="420" w:firstLine="3748"/>
      <w:jc w:val="both"/>
    </w:pPr>
  </w:style>
  <w:style w:type="paragraph" w:customStyle="1" w:styleId="19">
    <w:name w:val="Body Text First Indent"/>
    <w:basedOn w:val="4"/>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1345</Words>
  <Characters>1398</Characters>
  <Lines>0</Lines>
  <Paragraphs>0</Paragraphs>
  <TotalTime>3</TotalTime>
  <ScaleCrop>false</ScaleCrop>
  <LinksUpToDate>false</LinksUpToDate>
  <CharactersWithSpaces>1439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2025-05-26T01:23:00Z</cp:lastPrinted>
  <dcterms:modified xsi:type="dcterms:W3CDTF">2025-09-16T01:09:41Z</dcterms:modified>
  <dc:title>关于许禹供热长输管线项目勘察设计招标代理机构询比采购的邀请函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CF856B32BD91406BB612F831EC0C0AD7_13</vt:lpwstr>
  </property>
  <property fmtid="{D5CDD505-2E9C-101B-9397-08002B2CF9AE}" pid="4" name="commondata">
    <vt:lpwstr>eyJoZGlkIjoiN2I0NDMxMDhhNzIxZjIxM2FiMjFkZWExNzY4MTY3OTUifQ==</vt:lpwstr>
  </property>
  <property fmtid="{D5CDD505-2E9C-101B-9397-08002B2CF9AE}" pid="5" name="KSOTemplateDocerSaveRecord">
    <vt:lpwstr>eyJoZGlkIjoiNTY3YzY1ODgwYWJmMzQ4MDMwYjVkYzk5OTZkZWQ5YjkiLCJ1c2VySWQiOiIzMzY4MzkwMTgifQ==</vt:lpwstr>
  </property>
</Properties>
</file>